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2875" w14:textId="77777777" w:rsidR="00767589" w:rsidRDefault="00767589">
      <w:pPr>
        <w:pStyle w:val="BodyText"/>
        <w:spacing w:before="5"/>
        <w:ind w:left="0" w:firstLine="0"/>
        <w:rPr>
          <w:b/>
          <w:sz w:val="20"/>
        </w:rPr>
      </w:pPr>
    </w:p>
    <w:p w14:paraId="1F5A01B9" w14:textId="77777777" w:rsidR="00C0309F" w:rsidRPr="00C0309F" w:rsidRDefault="00C0309F" w:rsidP="00C0309F">
      <w:pPr>
        <w:pStyle w:val="BodyText"/>
        <w:spacing w:line="276" w:lineRule="auto"/>
        <w:ind w:left="113" w:right="103" w:firstLine="1356"/>
        <w:jc w:val="center"/>
        <w:rPr>
          <w:b/>
        </w:rPr>
      </w:pPr>
      <w:r w:rsidRPr="00C0309F">
        <w:rPr>
          <w:b/>
        </w:rPr>
        <w:t>UAB ,,GENETINIAI IŠTEKLIAI‘‘</w:t>
      </w:r>
    </w:p>
    <w:p w14:paraId="5B00DB5D" w14:textId="77777777" w:rsidR="00C0309F" w:rsidRPr="00C0309F" w:rsidRDefault="00C0309F" w:rsidP="00C0309F">
      <w:pPr>
        <w:pStyle w:val="BodyText"/>
        <w:spacing w:line="276" w:lineRule="auto"/>
        <w:ind w:left="113" w:right="103" w:firstLine="1356"/>
        <w:jc w:val="center"/>
        <w:rPr>
          <w:b/>
        </w:rPr>
      </w:pPr>
    </w:p>
    <w:p w14:paraId="4AEC71BA" w14:textId="77777777" w:rsidR="00C0309F" w:rsidRPr="00C0309F" w:rsidRDefault="00C0309F" w:rsidP="00C0309F">
      <w:pPr>
        <w:pStyle w:val="BodyText"/>
        <w:spacing w:line="276" w:lineRule="auto"/>
        <w:ind w:left="113" w:right="103" w:firstLine="1356"/>
        <w:jc w:val="center"/>
        <w:rPr>
          <w:b/>
        </w:rPr>
      </w:pPr>
      <w:r w:rsidRPr="00C0309F">
        <w:rPr>
          <w:b/>
        </w:rPr>
        <w:t>IŠVADA</w:t>
      </w:r>
    </w:p>
    <w:p w14:paraId="6BD3B878" w14:textId="77777777" w:rsidR="00C0309F" w:rsidRDefault="00C0309F" w:rsidP="00C0309F">
      <w:pPr>
        <w:pStyle w:val="BodyText"/>
        <w:spacing w:line="276" w:lineRule="auto"/>
        <w:ind w:left="113" w:right="103" w:firstLine="1356"/>
        <w:jc w:val="center"/>
        <w:rPr>
          <w:b/>
        </w:rPr>
      </w:pPr>
      <w:r w:rsidRPr="00C0309F">
        <w:rPr>
          <w:b/>
        </w:rPr>
        <w:t>DĖL VEIKLOS SRIČIŲ, KURIUOSE EGZISTUOJA DIDELĖ KORUPCIJOS PASIREIŠKIMO TIKIMYBĖ, NUSTATYMO</w:t>
      </w:r>
    </w:p>
    <w:p w14:paraId="3458D3DF" w14:textId="77777777" w:rsidR="00C0309F" w:rsidRPr="00C0309F" w:rsidRDefault="00C0309F" w:rsidP="00C0309F">
      <w:pPr>
        <w:pStyle w:val="BodyText"/>
        <w:spacing w:line="276" w:lineRule="auto"/>
        <w:ind w:left="113" w:right="103" w:firstLine="1356"/>
        <w:jc w:val="center"/>
        <w:rPr>
          <w:b/>
        </w:rPr>
      </w:pPr>
    </w:p>
    <w:p w14:paraId="4EC4EAA7" w14:textId="77777777" w:rsidR="00C0309F" w:rsidRPr="00C0309F" w:rsidRDefault="00C0309F" w:rsidP="00C0309F">
      <w:pPr>
        <w:pStyle w:val="BodyText"/>
        <w:spacing w:line="276" w:lineRule="auto"/>
        <w:ind w:left="113" w:right="103" w:firstLine="1356"/>
        <w:jc w:val="center"/>
      </w:pPr>
      <w:r w:rsidRPr="00C0309F">
        <w:t>2021-09-27</w:t>
      </w:r>
    </w:p>
    <w:p w14:paraId="736ADDEF" w14:textId="77777777" w:rsidR="00C0309F" w:rsidRDefault="00C0309F">
      <w:pPr>
        <w:pStyle w:val="BodyText"/>
        <w:spacing w:line="276" w:lineRule="auto"/>
        <w:ind w:left="113" w:right="103" w:firstLine="1356"/>
        <w:jc w:val="both"/>
      </w:pPr>
    </w:p>
    <w:p w14:paraId="65D10EC9" w14:textId="77777777" w:rsidR="00924B6D" w:rsidRDefault="00924B6D" w:rsidP="006E5226">
      <w:pPr>
        <w:pStyle w:val="BodyText"/>
        <w:spacing w:line="360" w:lineRule="auto"/>
        <w:ind w:left="113" w:right="103" w:firstLine="1356"/>
        <w:jc w:val="both"/>
      </w:pPr>
      <w:r>
        <w:t xml:space="preserve"> „Genetiniai iš</w:t>
      </w:r>
      <w:r w:rsidR="00D407BE">
        <w:t>tekliai" (toliau - Bendrove), vadovaujantis Lietuvos Respublikos korupcijos prevencijos is</w:t>
      </w:r>
      <w:r>
        <w:t>tatymo 6 straipsniu, Korupcijos</w:t>
      </w:r>
      <w:r w:rsidR="00D407BE">
        <w:t xml:space="preserve"> rizikos analizes atlikimo tvarka, patvirtinta Lietuvos</w:t>
      </w:r>
      <w:r>
        <w:t xml:space="preserve"> Respublikos Vyriausybes 2002 m</w:t>
      </w:r>
      <w:r w:rsidR="00D407BE">
        <w:t xml:space="preserve">. </w:t>
      </w:r>
      <w:r>
        <w:t>spalio 8 d. nutarimu Nr.1601 „Dė</w:t>
      </w:r>
      <w:r w:rsidR="00D407BE">
        <w:t>l Korupcijos rizikos analizes atlikimo</w:t>
      </w:r>
      <w:r>
        <w:t xml:space="preserve"> tvarkos patvirtinimo", ir atsiž</w:t>
      </w:r>
      <w:r w:rsidR="00D407BE">
        <w:t>velgdama</w:t>
      </w:r>
      <w:r>
        <w:t xml:space="preserve"> į Žemes ūkio</w:t>
      </w:r>
      <w:r w:rsidR="00D407BE">
        <w:t xml:space="preserve"> sekto</w:t>
      </w:r>
      <w:r>
        <w:t>riaus antikorupcijos programos įgyvendinimo priemonių planą</w:t>
      </w:r>
      <w:r w:rsidR="00D407BE">
        <w:t>, patvir</w:t>
      </w:r>
      <w:r>
        <w:t xml:space="preserve">tinta Lietuvos Respublikos Žemės ūkio ministro 2002m </w:t>
      </w:r>
      <w:r w:rsidR="0094790F">
        <w:t>rugsėjo 23 d. į</w:t>
      </w:r>
      <w:r>
        <w:t>sakymu Nr.373 „Dėl Žemės ū</w:t>
      </w:r>
      <w:r w:rsidR="00D407BE">
        <w:t>kio sektoriaus antikoru</w:t>
      </w:r>
      <w:r>
        <w:t>pcines programos tvirtinimo", iš</w:t>
      </w:r>
      <w:r w:rsidR="0094790F">
        <w:t>analizavo ir į</w:t>
      </w:r>
      <w:r w:rsidR="00D407BE">
        <w:t>vertin</w:t>
      </w:r>
      <w:r w:rsidR="0094790F">
        <w:t>o Bendrovė</w:t>
      </w:r>
      <w:r>
        <w:t>je korupcijos pasireiš</w:t>
      </w:r>
      <w:r w:rsidR="00D407BE">
        <w:t>kimo tikimyb</w:t>
      </w:r>
      <w:r>
        <w:t>ę.</w:t>
      </w:r>
      <w:r w:rsidR="00D407BE">
        <w:t xml:space="preserve"> </w:t>
      </w:r>
    </w:p>
    <w:p w14:paraId="203123B1" w14:textId="77777777" w:rsidR="00924B6D" w:rsidRDefault="00D407BE" w:rsidP="006E5226">
      <w:pPr>
        <w:pStyle w:val="BodyText"/>
        <w:spacing w:line="360" w:lineRule="auto"/>
        <w:ind w:left="113" w:right="103" w:firstLine="1356"/>
        <w:jc w:val="both"/>
      </w:pPr>
      <w:r>
        <w:t>K</w:t>
      </w:r>
      <w:r w:rsidR="00924B6D">
        <w:t>orupcijos tikimybes nustatymo už</w:t>
      </w:r>
      <w:r>
        <w:t>daviniai :</w:t>
      </w:r>
    </w:p>
    <w:p w14:paraId="1832FBA5" w14:textId="77777777" w:rsidR="00924B6D" w:rsidRDefault="00924B6D" w:rsidP="006E5226">
      <w:pPr>
        <w:pStyle w:val="BodyText"/>
        <w:spacing w:line="360" w:lineRule="auto"/>
        <w:ind w:left="113" w:right="103" w:firstLine="1356"/>
        <w:jc w:val="both"/>
      </w:pPr>
      <w:r>
        <w:t xml:space="preserve"> 1) Į</w:t>
      </w:r>
      <w:r w:rsidR="00D407BE">
        <w:t>vertint</w:t>
      </w:r>
      <w:r>
        <w:t>i veiklos sritis reglamentuojanč</w:t>
      </w:r>
      <w:r w:rsidR="00D407BE">
        <w:t>iu</w:t>
      </w:r>
      <w:r>
        <w:t>s teises aktų</w:t>
      </w:r>
      <w:r w:rsidR="00D407BE">
        <w:t xml:space="preserve"> nuostatas ir nustatyti galimus korupcijos rizikos veiksnius; </w:t>
      </w:r>
    </w:p>
    <w:p w14:paraId="76ECA136" w14:textId="77777777" w:rsidR="00924B6D" w:rsidRDefault="00924B6D" w:rsidP="006E5226">
      <w:pPr>
        <w:pStyle w:val="BodyText"/>
        <w:spacing w:line="360" w:lineRule="auto"/>
        <w:ind w:left="113" w:right="103" w:firstLine="1356"/>
        <w:jc w:val="both"/>
      </w:pPr>
      <w:r>
        <w:t>2) Pasiūlyti korupcijos riziką</w:t>
      </w:r>
      <w:r w:rsidR="00D407BE">
        <w:t xml:space="preserve"> ir jos vei</w:t>
      </w:r>
      <w:r>
        <w:t>ksnius mažinanč</w:t>
      </w:r>
      <w:r w:rsidR="00D407BE">
        <w:t xml:space="preserve">ias priemones. </w:t>
      </w:r>
    </w:p>
    <w:p w14:paraId="6EF17E43" w14:textId="77777777" w:rsidR="00DA7654" w:rsidRPr="00A94CFA" w:rsidRDefault="00924B6D" w:rsidP="006E5226">
      <w:pPr>
        <w:spacing w:line="360" w:lineRule="auto"/>
        <w:ind w:firstLine="993"/>
        <w:jc w:val="both"/>
      </w:pPr>
      <w:r>
        <w:t>Bendroves Veiklos sričių</w:t>
      </w:r>
      <w:r w:rsidR="00D407BE">
        <w:t>, kuriose egzis</w:t>
      </w:r>
      <w:r>
        <w:t>tuoja didele korupcijos pasireiškimo tikimybe, nustatymą ir korupcijos pasireiškimo tikimybės įvertinimą</w:t>
      </w:r>
      <w:r w:rsidR="00D407BE">
        <w:t xml:space="preserve"> atliko Bendroves kovos su korupcija komis</w:t>
      </w:r>
      <w:r>
        <w:t>ija, sudaryta UAB „Genetiniai iš</w:t>
      </w:r>
      <w:r w:rsidR="00D407BE">
        <w:t xml:space="preserve">tekliai" </w:t>
      </w:r>
      <w:r w:rsidR="000E4C16">
        <w:t>direktoriaus 2021 m. vasario 26 d. įsakymu Nr. V-5 „Dė</w:t>
      </w:r>
      <w:r w:rsidR="00D407BE">
        <w:t xml:space="preserve">l </w:t>
      </w:r>
      <w:r w:rsidR="000E4C16">
        <w:t>korupcijos prevencijos priemonių</w:t>
      </w:r>
      <w:r w:rsidR="00D407BE">
        <w:t xml:space="preserve"> komisijos sudarymo"</w:t>
      </w:r>
      <w:r w:rsidR="000E4C16">
        <w:t xml:space="preserve"> – ( toliau Komisija).</w:t>
      </w:r>
      <w:r w:rsidR="00D407BE">
        <w:t xml:space="preserve"> Komi</w:t>
      </w:r>
      <w:r w:rsidR="000E4C16">
        <w:t>sija savo darbe vadovavosi prieš tai minė</w:t>
      </w:r>
      <w:r w:rsidR="00D407BE">
        <w:t>tais teises aktais, ta</w:t>
      </w:r>
      <w:r w:rsidR="000E4C16">
        <w:t>ip pat Valstybes ar savivaldybių įstaigų veiklos sričių</w:t>
      </w:r>
      <w:r w:rsidR="00D407BE">
        <w:t>, kuriose egzistuoja d</w:t>
      </w:r>
      <w:r w:rsidR="000E4C16">
        <w:t>idele korupcijos pasireiš</w:t>
      </w:r>
      <w:r w:rsidR="00D407BE">
        <w:t xml:space="preserve">kimo tikimybe, nustatymo rekomendacijomis, patvirtintomis </w:t>
      </w:r>
      <w:r w:rsidR="000E4C16">
        <w:t>Lietuvos Respublikos Specialiųjų tyrimų</w:t>
      </w:r>
      <w:r w:rsidR="00D407BE">
        <w:t xml:space="preserve"> ta</w:t>
      </w:r>
      <w:r w:rsidR="000E4C16">
        <w:t>rnybos direktoriaus 2011 m. gegužės 13 d. įsakymu Nr.2-170 „Dėl Valstybes ar savivaldybės įstaigos veiklos sričių</w:t>
      </w:r>
      <w:r w:rsidR="00D407BE">
        <w:t>, kuriuose egzistu</w:t>
      </w:r>
      <w:r w:rsidR="000E4C16">
        <w:t>oja didele korupcijos pasireiš</w:t>
      </w:r>
      <w:r w:rsidR="00D407BE">
        <w:t>kimo ti</w:t>
      </w:r>
      <w:r w:rsidR="000E4C16">
        <w:t>kimybe, nustatymo rekomendacijų</w:t>
      </w:r>
      <w:r w:rsidR="00D407BE">
        <w:t xml:space="preserve"> patvirtinimo " . Bendro</w:t>
      </w:r>
      <w:r w:rsidR="000E4C16">
        <w:t>vei vykdant savo funkcijas ir už</w:t>
      </w:r>
      <w:r w:rsidR="00D407BE">
        <w:t>da</w:t>
      </w:r>
      <w:r w:rsidR="000E4C16">
        <w:t>vinius bei atliekant Bendroves į</w:t>
      </w:r>
      <w:r w:rsidR="00D407BE">
        <w:t>statuose, patvi</w:t>
      </w:r>
      <w:r w:rsidR="000E4C16">
        <w:t>rtintuose Lietuvos Respublikos Žemės ūkio ministro 2019 m. gegužės 22 d. į</w:t>
      </w:r>
      <w:r w:rsidR="00D407BE">
        <w:t>sakymu nurodytas funkcij</w:t>
      </w:r>
      <w:r w:rsidR="0094790F">
        <w:t>as, egzistuoja reali korupcijos pasireiš</w:t>
      </w:r>
      <w:r w:rsidR="00D407BE">
        <w:t>kimo tikimyb</w:t>
      </w:r>
      <w:r w:rsidR="00DA7654">
        <w:t>ė. Įvertinę atskiras Bendrovės</w:t>
      </w:r>
      <w:r w:rsidR="00DA7654" w:rsidRPr="00A94CFA">
        <w:t xml:space="preserve"> </w:t>
      </w:r>
      <w:r w:rsidR="00DA7654">
        <w:t xml:space="preserve">personalo formavimo ir administravimo </w:t>
      </w:r>
      <w:r w:rsidR="00DA7654" w:rsidRPr="00A94CFA">
        <w:t xml:space="preserve">sritis, </w:t>
      </w:r>
      <w:r w:rsidR="00DA7654">
        <w:t>galimas rizikas ir galimą UAB ,,Genetiniai ištekliai‘‘</w:t>
      </w:r>
      <w:r w:rsidR="00DA7654" w:rsidRPr="00A94CFA">
        <w:t xml:space="preserve"> darbuotojų pažeidžiamumą, siekdami tobulinti procesų valdymą ir vidaus kontrolę, pasirinkome detaliau išanalizuoti korupcijos pasireišk</w:t>
      </w:r>
      <w:r w:rsidR="00DA7654">
        <w:t>imo tikimybę darbuotojų</w:t>
      </w:r>
      <w:r w:rsidR="005758E7">
        <w:t xml:space="preserve"> atrankos ir</w:t>
      </w:r>
      <w:r w:rsidR="00DA7654">
        <w:t xml:space="preserve"> priėmimo į darbą</w:t>
      </w:r>
      <w:r w:rsidR="00DA7654" w:rsidRPr="00A94CFA">
        <w:t xml:space="preserve"> procese. Minėta sritis formaliai atitinka šiuos Korupcijos prevencijos įstatymo 6 straipsnio 3 dalyje nurodytus korupcijos riziką sąlygojančius kriterijus:</w:t>
      </w:r>
    </w:p>
    <w:p w14:paraId="4185D50A" w14:textId="77777777" w:rsidR="00DA7654" w:rsidRPr="00A94CFA" w:rsidRDefault="00DA7654" w:rsidP="006E5226">
      <w:pPr>
        <w:pStyle w:val="ListParagraph"/>
        <w:widowControl/>
        <w:numPr>
          <w:ilvl w:val="0"/>
          <w:numId w:val="3"/>
        </w:numPr>
        <w:autoSpaceDE/>
        <w:autoSpaceDN/>
        <w:spacing w:line="360" w:lineRule="auto"/>
        <w:ind w:left="0" w:firstLine="993"/>
        <w:contextualSpacing/>
        <w:rPr>
          <w:sz w:val="24"/>
          <w:szCs w:val="24"/>
        </w:rPr>
      </w:pPr>
      <w:r w:rsidRPr="00A94CFA">
        <w:rPr>
          <w:sz w:val="24"/>
          <w:szCs w:val="24"/>
        </w:rPr>
        <w:t>Atskirų valstybės tarnautojų funkcijos, uždaviniai, darbo ir sprendimų priėmimo tvarka bei atsakomybė nėra išsamiai reglamentuoti (3 kriterijus);</w:t>
      </w:r>
    </w:p>
    <w:p w14:paraId="464AAE7C" w14:textId="77777777" w:rsidR="00DA7654" w:rsidRPr="00A94CFA" w:rsidRDefault="00DA7654" w:rsidP="006E5226">
      <w:pPr>
        <w:pStyle w:val="ListParagraph"/>
        <w:widowControl/>
        <w:numPr>
          <w:ilvl w:val="0"/>
          <w:numId w:val="3"/>
        </w:numPr>
        <w:autoSpaceDE/>
        <w:autoSpaceDN/>
        <w:spacing w:line="360" w:lineRule="auto"/>
        <w:ind w:left="0" w:firstLine="993"/>
        <w:contextualSpacing/>
        <w:rPr>
          <w:sz w:val="24"/>
          <w:szCs w:val="24"/>
        </w:rPr>
      </w:pPr>
      <w:r w:rsidRPr="00A94CFA">
        <w:rPr>
          <w:sz w:val="24"/>
          <w:szCs w:val="24"/>
        </w:rPr>
        <w:t>Daugiausia priima sprendimus, kuriems nereikia kitos valstybės ar savivaldybės įstaigos patvirtinimo (5 kriterijus).</w:t>
      </w:r>
    </w:p>
    <w:p w14:paraId="3A149A52" w14:textId="77777777" w:rsidR="00DA7654" w:rsidRPr="00A94CFA" w:rsidRDefault="00DA7654" w:rsidP="006E5226">
      <w:pPr>
        <w:pStyle w:val="ListParagraph"/>
        <w:spacing w:line="360" w:lineRule="auto"/>
        <w:ind w:left="0" w:firstLine="993"/>
        <w:rPr>
          <w:sz w:val="24"/>
          <w:szCs w:val="24"/>
        </w:rPr>
      </w:pPr>
      <w:r w:rsidRPr="00A94CFA">
        <w:rPr>
          <w:sz w:val="24"/>
          <w:szCs w:val="24"/>
        </w:rPr>
        <w:t xml:space="preserve">Vertinant pagal kitus Korupcijos prevencijos įstatyme numatytus korupcijos pasireiškimo tikimybės </w:t>
      </w:r>
      <w:r w:rsidRPr="00A94CFA">
        <w:rPr>
          <w:sz w:val="24"/>
          <w:szCs w:val="24"/>
        </w:rPr>
        <w:lastRenderedPageBreak/>
        <w:t>kriterijus, daugiau atitikčių nenustatyta.</w:t>
      </w:r>
    </w:p>
    <w:p w14:paraId="43711C5F" w14:textId="77777777" w:rsidR="00DA7654" w:rsidRPr="00A94CFA" w:rsidRDefault="00DA7654" w:rsidP="006E5226">
      <w:pPr>
        <w:spacing w:line="360" w:lineRule="auto"/>
        <w:ind w:firstLine="993"/>
        <w:jc w:val="both"/>
      </w:pPr>
      <w:r>
        <w:t>Analizuotas laikotarpis: 20</w:t>
      </w:r>
      <w:r>
        <w:rPr>
          <w:lang w:val="en-US"/>
        </w:rPr>
        <w:t>20</w:t>
      </w:r>
      <w:r>
        <w:t xml:space="preserve"> m. spalio 1 d. – 2021</w:t>
      </w:r>
      <w:r w:rsidRPr="00A94CFA">
        <w:t xml:space="preserve"> m. rugsėjo 1 d.</w:t>
      </w:r>
    </w:p>
    <w:p w14:paraId="655A4785" w14:textId="77777777" w:rsidR="00767589" w:rsidRDefault="00E44E45" w:rsidP="006E5226">
      <w:pPr>
        <w:pStyle w:val="Heading1"/>
        <w:spacing w:before="206" w:line="360" w:lineRule="auto"/>
      </w:pPr>
      <w:r>
        <w:t>Atliekant vertinimą peržiūrėti:</w:t>
      </w:r>
    </w:p>
    <w:p w14:paraId="53769F71" w14:textId="77777777" w:rsidR="00767589" w:rsidRDefault="0094790F" w:rsidP="006E5226">
      <w:pPr>
        <w:pStyle w:val="ListParagraph"/>
        <w:numPr>
          <w:ilvl w:val="0"/>
          <w:numId w:val="2"/>
        </w:numPr>
        <w:tabs>
          <w:tab w:val="left" w:pos="835"/>
        </w:tabs>
        <w:spacing w:line="360" w:lineRule="auto"/>
        <w:ind w:hanging="361"/>
        <w:rPr>
          <w:sz w:val="24"/>
        </w:rPr>
      </w:pPr>
      <w:r>
        <w:rPr>
          <w:sz w:val="24"/>
        </w:rPr>
        <w:t xml:space="preserve">UAB ,,Genetiniai ištekliai‘‘ </w:t>
      </w:r>
      <w:r w:rsidR="00E44E45">
        <w:rPr>
          <w:sz w:val="24"/>
        </w:rPr>
        <w:t>pareigybių</w:t>
      </w:r>
      <w:r w:rsidR="00E44E45">
        <w:rPr>
          <w:spacing w:val="-3"/>
          <w:sz w:val="24"/>
        </w:rPr>
        <w:t xml:space="preserve"> </w:t>
      </w:r>
      <w:r w:rsidR="006E5226">
        <w:rPr>
          <w:sz w:val="24"/>
        </w:rPr>
        <w:t>aprašymai, darbuotojų priėmimo į darbą pagal darbo sutartis organizavimas.</w:t>
      </w:r>
    </w:p>
    <w:p w14:paraId="08CFA1FF" w14:textId="77777777" w:rsidR="00767589" w:rsidRDefault="00E44E45" w:rsidP="006E5226">
      <w:pPr>
        <w:pStyle w:val="ListParagraph"/>
        <w:numPr>
          <w:ilvl w:val="0"/>
          <w:numId w:val="2"/>
        </w:numPr>
        <w:tabs>
          <w:tab w:val="left" w:pos="835"/>
        </w:tabs>
        <w:spacing w:before="41" w:line="360" w:lineRule="auto"/>
        <w:ind w:hanging="361"/>
        <w:rPr>
          <w:sz w:val="24"/>
        </w:rPr>
      </w:pPr>
      <w:r>
        <w:rPr>
          <w:sz w:val="24"/>
        </w:rPr>
        <w:t>Direktoriaus įsakymai personalo</w:t>
      </w:r>
      <w:r>
        <w:rPr>
          <w:spacing w:val="-1"/>
          <w:sz w:val="24"/>
        </w:rPr>
        <w:t xml:space="preserve"> </w:t>
      </w:r>
      <w:r w:rsidR="006E5226">
        <w:rPr>
          <w:sz w:val="24"/>
        </w:rPr>
        <w:t>klausimais, kiti teisės aktai, kuriais vadovaujasi darbuotojai, vykdydami jiems priskirtas funkcijas</w:t>
      </w:r>
    </w:p>
    <w:p w14:paraId="2086755A" w14:textId="77777777" w:rsidR="00F96A0F" w:rsidRDefault="00F96A0F" w:rsidP="006E5226">
      <w:pPr>
        <w:pStyle w:val="ListParagraph"/>
        <w:spacing w:line="360" w:lineRule="auto"/>
        <w:ind w:left="834" w:firstLine="0"/>
      </w:pPr>
      <w:r w:rsidRPr="00A94CFA">
        <w:t>Vertinimas atliktas analizės ir apibendrinimo metodais, analizuojant teisės aktus, reglamentuojančius personalo valdymą.</w:t>
      </w:r>
    </w:p>
    <w:p w14:paraId="6150BCA2" w14:textId="77777777" w:rsidR="00F96A0F" w:rsidRPr="00A94CFA" w:rsidRDefault="00F96A0F" w:rsidP="006E5226">
      <w:pPr>
        <w:spacing w:line="360" w:lineRule="auto"/>
        <w:ind w:firstLine="900"/>
        <w:jc w:val="both"/>
      </w:pPr>
      <w:r w:rsidRPr="00A94CFA">
        <w:t>Buvo įvertinta esamo reglamentavimo ir jame įtvirtintų kontrolės priemonių atitiktis Valstybės ar savivaldybės įstaigų sričių, kuriose egzistuoja didelė korupcijos pasireiškimo tikimybė, nustatymo rekomendacijose (Lietuvos Respublikos specialiųjų tyrimų tarnybos direktoriau</w:t>
      </w:r>
      <w:r>
        <w:t>s 2011 gegužės 13 d. įsakymas Nr</w:t>
      </w:r>
      <w:r w:rsidRPr="00A94CFA">
        <w:t>. 2-170), nustatytiems kriterijams.</w:t>
      </w:r>
      <w:r>
        <w:t xml:space="preserve"> </w:t>
      </w:r>
    </w:p>
    <w:p w14:paraId="716182DE" w14:textId="77777777" w:rsidR="00DA7654" w:rsidRPr="00A94CFA" w:rsidRDefault="00DA7654" w:rsidP="006E5226">
      <w:pPr>
        <w:spacing w:line="360" w:lineRule="auto"/>
        <w:ind w:firstLine="900"/>
        <w:jc w:val="both"/>
      </w:pPr>
      <w:r w:rsidRPr="00A94CFA">
        <w:t>Analizuotu laikotarpiu personalo formavimo, valdymo ir administravimo veiklos srityje nebuvo užfiksuotų Korupcijos prevencijos įstatymo 2 straipsnio 2 dalyje nurodytų korupcinio pobūdžio nusikalstamų veikų ar kitų tapataus pobūdžio, ar mažiau pavojingų teisės pažeidimų, už kuriuos numatyta administracinė ar kitokia atsakomybė, atvejų.</w:t>
      </w:r>
    </w:p>
    <w:p w14:paraId="44E66DB1" w14:textId="77777777" w:rsidR="00DA7654" w:rsidRPr="00C7497D" w:rsidRDefault="00DA7654" w:rsidP="006E5226">
      <w:pPr>
        <w:spacing w:line="360" w:lineRule="auto"/>
        <w:ind w:firstLine="900"/>
        <w:jc w:val="both"/>
        <w:rPr>
          <w:b/>
        </w:rPr>
      </w:pPr>
      <w:r w:rsidRPr="00C7497D">
        <w:rPr>
          <w:b/>
        </w:rPr>
        <w:t>Korupcijos pasireiški</w:t>
      </w:r>
      <w:r w:rsidR="00E840C3" w:rsidRPr="00C7497D">
        <w:rPr>
          <w:b/>
        </w:rPr>
        <w:t>mo tikimybės darbuotojų priėmimo į darbą</w:t>
      </w:r>
      <w:r w:rsidRPr="00C7497D">
        <w:rPr>
          <w:b/>
        </w:rPr>
        <w:t xml:space="preserve"> ir administravimo veiklos srityje vertinimas.</w:t>
      </w:r>
    </w:p>
    <w:p w14:paraId="570B00A2" w14:textId="77777777" w:rsidR="00DA7654" w:rsidRPr="00A94CFA" w:rsidRDefault="00DA7654" w:rsidP="006E5226">
      <w:pPr>
        <w:spacing w:line="360" w:lineRule="auto"/>
        <w:ind w:firstLine="900"/>
        <w:jc w:val="both"/>
      </w:pPr>
      <w:r w:rsidRPr="00A94CFA">
        <w:t>Si</w:t>
      </w:r>
      <w:r w:rsidR="00D25D0F">
        <w:t>ekiant užtikrinti tinkamą B</w:t>
      </w:r>
      <w:r w:rsidR="00F96A0F">
        <w:t>endrovės</w:t>
      </w:r>
      <w:r w:rsidRPr="00A94CFA">
        <w:t xml:space="preserve"> personalo administravimą ir personalo dokumentų </w:t>
      </w:r>
      <w:r w:rsidR="00F96A0F">
        <w:t>tvarkymą, Bendrovė</w:t>
      </w:r>
      <w:r w:rsidRPr="00A94CFA">
        <w:t xml:space="preserve"> vadovaujamasi </w:t>
      </w:r>
      <w:r w:rsidR="003E4978">
        <w:t xml:space="preserve"> vidaus teisės aktais ( vidaus darbo tvarkos taisyklės, įvairios tvarkos, darbuotojų pareiginės instrukcijos, darbo saugos ir sveikatos instrukcijos)</w:t>
      </w:r>
      <w:r w:rsidR="00F96A0F">
        <w:t xml:space="preserve">. Tai pagrindiniai vidaus dokumentai ir teisės </w:t>
      </w:r>
      <w:r w:rsidR="00F44C73">
        <w:t>aktai, kurių pagrindu vykdomas B</w:t>
      </w:r>
      <w:r w:rsidR="00F96A0F">
        <w:t>endrovės personalo priėmimo į darbą</w:t>
      </w:r>
      <w:r w:rsidRPr="00A94CFA">
        <w:t xml:space="preserve"> proceso organizavimas.</w:t>
      </w:r>
      <w:r w:rsidRPr="001D2D35">
        <w:t xml:space="preserve"> </w:t>
      </w:r>
      <w:r>
        <w:t>Atkreiptinas dėmesys, kad darbuotojų atranka ir jos procesas nėra reglamentuojamas jokiame teisės akte, todėl institucija pati turi priimti atitinkamus vidinius teisės aktus, reglamentuojančius šią sritį.</w:t>
      </w:r>
    </w:p>
    <w:p w14:paraId="5C241ED1" w14:textId="77777777" w:rsidR="00DA7654" w:rsidRPr="00A94CFA" w:rsidRDefault="00DA7654" w:rsidP="006E5226">
      <w:pPr>
        <w:spacing w:line="360" w:lineRule="auto"/>
        <w:ind w:firstLine="900"/>
        <w:jc w:val="both"/>
      </w:pPr>
      <w:r w:rsidRPr="00A94CFA">
        <w:t xml:space="preserve">Valstybės ir savivaldybės įmonių įstatymo 11 straipsnio 3 dalyje numatyta, kad darbuotojus </w:t>
      </w:r>
      <w:r w:rsidRPr="001D2D35">
        <w:t xml:space="preserve">į darbą </w:t>
      </w:r>
      <w:r w:rsidR="00960BEF">
        <w:t>priima į darbą ir atleidžia Bendrovės vadovas. UAB ,,Genetiniai ištekliai‘‘</w:t>
      </w:r>
      <w:r w:rsidR="00F44C73">
        <w:t xml:space="preserve"> etatų sąrašas teikiamas B</w:t>
      </w:r>
      <w:r w:rsidR="00960BEF">
        <w:t>endrovės valdybai, kuri įgyvendina</w:t>
      </w:r>
      <w:r w:rsidRPr="001D2D35">
        <w:t xml:space="preserve"> savininko te</w:t>
      </w:r>
      <w:r w:rsidR="00960BEF">
        <w:t>ises ir pareigas turinčiai</w:t>
      </w:r>
      <w:r w:rsidRPr="001D2D35">
        <w:t xml:space="preserve"> institucijai – Lietuvos Respublikos žemės ūkio ministerijai. Darbuotojų </w:t>
      </w:r>
      <w:r>
        <w:t>pavaldumas reglamentuojamas</w:t>
      </w:r>
      <w:r w:rsidRPr="001D2D35">
        <w:t xml:space="preserve">  direktori</w:t>
      </w:r>
      <w:r>
        <w:t>a</w:t>
      </w:r>
      <w:r w:rsidRPr="001D2D35">
        <w:t xml:space="preserve">us </w:t>
      </w:r>
      <w:r>
        <w:t>tvirtinamuose darbuotojų pareiginėse instrukcijose</w:t>
      </w:r>
      <w:r w:rsidR="00F44C73">
        <w:t>. Asmuo į darbą  priimamas B</w:t>
      </w:r>
      <w:r w:rsidR="00960BEF">
        <w:t xml:space="preserve">endrovės </w:t>
      </w:r>
      <w:r w:rsidRPr="00A94CFA">
        <w:t>direktoriaus įsakymu, su darbuotoju sudaroma darbo sutartis. Darbuotojų darbo sąlygas ir tvarką nustato Darbo kodeksas ir kiti darbo santykius</w:t>
      </w:r>
      <w:r w:rsidR="003E4978">
        <w:t xml:space="preserve"> reglamentuojantys teisės aktai (vidaus darbo tvarkos taisyklės, pareiginės instrukcijos, įvairios Bendrovėje patvirtintos tvarkos).</w:t>
      </w:r>
    </w:p>
    <w:p w14:paraId="70BF1B34" w14:textId="77777777" w:rsidR="00DA7654" w:rsidRPr="00F76983" w:rsidRDefault="00960BEF" w:rsidP="006E5226">
      <w:pPr>
        <w:spacing w:line="360" w:lineRule="auto"/>
        <w:ind w:firstLine="900"/>
        <w:jc w:val="both"/>
      </w:pPr>
      <w:r>
        <w:t>Darbuotojų atranka</w:t>
      </w:r>
      <w:r w:rsidR="00DA7654" w:rsidRPr="00A94CFA">
        <w:t xml:space="preserve"> (išskyrus į Darbo kodekse nurodytą pareigybių, dėl kurių rengiamas konkursas, sąrašą ir reglamentuotas išimtis) </w:t>
      </w:r>
      <w:r>
        <w:t xml:space="preserve"> ir priėmimas </w:t>
      </w:r>
      <w:r w:rsidR="00DA7654" w:rsidRPr="00A94CFA">
        <w:t>į darbą</w:t>
      </w:r>
      <w:r>
        <w:t xml:space="preserve"> atliekamas</w:t>
      </w:r>
      <w:r w:rsidR="00DA7654" w:rsidRPr="00A94CFA">
        <w:t xml:space="preserve"> </w:t>
      </w:r>
      <w:r>
        <w:t>vadovaujantis</w:t>
      </w:r>
      <w:r w:rsidR="00DA7654" w:rsidRPr="00A94CFA">
        <w:t xml:space="preserve"> bendrosiomis Darbo kodekso nuostatomi</w:t>
      </w:r>
      <w:r>
        <w:t xml:space="preserve">s. Dažnai ieškant darbuotojų į gyvulių prižiūrėtojų, traktoristų, melžejų pareigas, kreipiamasi </w:t>
      </w:r>
      <w:r w:rsidR="00E840C3" w:rsidRPr="00F76983">
        <w:t>į  U</w:t>
      </w:r>
      <w:r w:rsidRPr="00F76983">
        <w:t>žimtumo tarnybą</w:t>
      </w:r>
      <w:r w:rsidR="00C7497D" w:rsidRPr="00F76983">
        <w:t>.</w:t>
      </w:r>
    </w:p>
    <w:p w14:paraId="6E838D94" w14:textId="77777777" w:rsidR="00DA7654" w:rsidRPr="00A94CFA" w:rsidRDefault="00F34E74" w:rsidP="006E5226">
      <w:pPr>
        <w:spacing w:line="360" w:lineRule="auto"/>
        <w:ind w:firstLine="900"/>
        <w:jc w:val="both"/>
      </w:pPr>
      <w:r w:rsidRPr="00766B12">
        <w:t>Bendrovės duomenimis, nuo 20</w:t>
      </w:r>
      <w:r w:rsidRPr="00766B12">
        <w:rPr>
          <w:lang w:val="en-US"/>
        </w:rPr>
        <w:t>20</w:t>
      </w:r>
      <w:r w:rsidR="00DA7654" w:rsidRPr="00766B12">
        <w:t xml:space="preserve"> spalio 1 </w:t>
      </w:r>
      <w:r w:rsidRPr="00766B12">
        <w:t>d. iki 2021</w:t>
      </w:r>
      <w:r w:rsidR="00DA7654" w:rsidRPr="00766B12">
        <w:t xml:space="preserve"> rugsėjo 1 d.  buvo priimti 7 darbuotojai</w:t>
      </w:r>
      <w:r w:rsidRPr="00766B12">
        <w:t>, atleista</w:t>
      </w:r>
      <w:r w:rsidR="00DA7654" w:rsidRPr="00766B12">
        <w:t xml:space="preserve"> 5 darbuotojai.</w:t>
      </w:r>
      <w:r w:rsidR="00DA7654" w:rsidRPr="00841A81">
        <w:t xml:space="preserve"> </w:t>
      </w:r>
    </w:p>
    <w:p w14:paraId="47DB51FD" w14:textId="77777777" w:rsidR="00DA7654" w:rsidRPr="00A94CFA" w:rsidRDefault="00F34E74" w:rsidP="006E5226">
      <w:pPr>
        <w:spacing w:line="360" w:lineRule="auto"/>
        <w:ind w:firstLine="851"/>
        <w:jc w:val="both"/>
      </w:pPr>
      <w:r>
        <w:t xml:space="preserve">  D</w:t>
      </w:r>
      <w:r w:rsidR="00DA7654" w:rsidRPr="00A94CFA">
        <w:t>arbuotojų atrankos proceso srityje</w:t>
      </w:r>
      <w:r>
        <w:t xml:space="preserve"> trūkumų nenustatyta. Vidaus tvarkos taisyklėse</w:t>
      </w:r>
      <w:r w:rsidR="00DA7654" w:rsidRPr="00A94CFA">
        <w:t xml:space="preserve"> nustatyta naujai priimtų darbuotojų </w:t>
      </w:r>
      <w:r w:rsidR="00DA7654">
        <w:t>adaptacijos</w:t>
      </w:r>
      <w:r w:rsidR="00DA7654" w:rsidRPr="00A94CFA">
        <w:t xml:space="preserve"> tvark</w:t>
      </w:r>
      <w:r w:rsidR="00DA7654">
        <w:t>a, aptarti darbuotojų atleidimo</w:t>
      </w:r>
      <w:r w:rsidR="00DA7654" w:rsidRPr="00A94CFA">
        <w:t xml:space="preserve">, kvalifikacijos kėlimo, tarnybinių komandiruočių </w:t>
      </w:r>
      <w:r w:rsidR="00DA7654">
        <w:t>ir atostogų suteikimo klausimai, kurie neprieštarauja Darbo kodekso reglamentavimui.</w:t>
      </w:r>
      <w:r w:rsidR="00E840C3">
        <w:t xml:space="preserve"> </w:t>
      </w:r>
      <w:r w:rsidR="00C7497D">
        <w:t xml:space="preserve">Darbuotojų darbo apmokėjimas, jų </w:t>
      </w:r>
      <w:r w:rsidR="00C7497D">
        <w:lastRenderedPageBreak/>
        <w:t>motyvavimas atliekamas pagal Bendrovėje patvirtintas darbo užmokesčio bei motyvavimo sistemas.</w:t>
      </w:r>
    </w:p>
    <w:p w14:paraId="43E52E0D" w14:textId="77777777" w:rsidR="00DA7654" w:rsidRPr="00A94CFA" w:rsidRDefault="00DA7654" w:rsidP="006E5226">
      <w:pPr>
        <w:spacing w:line="360" w:lineRule="auto"/>
        <w:ind w:firstLine="900"/>
        <w:jc w:val="both"/>
      </w:pPr>
      <w:r w:rsidRPr="00A94CFA">
        <w:t>Apibendrinant pažymėtina, kad</w:t>
      </w:r>
      <w:r>
        <w:t>,</w:t>
      </w:r>
      <w:r w:rsidRPr="00A94CFA">
        <w:t xml:space="preserve"> siekiant suvienodinti teisės taikymo praktiką ir efektyviai valdyti korupcijos pasireiškim</w:t>
      </w:r>
      <w:r w:rsidR="00F34E74">
        <w:t>o riziką priėmimo į darbą Bendrovėje</w:t>
      </w:r>
      <w:r>
        <w:t xml:space="preserve"> procese</w:t>
      </w:r>
      <w:r w:rsidR="00F34E74">
        <w:t>, tikslinga papildyti galiojančius teisės aktus</w:t>
      </w:r>
      <w:r w:rsidR="00A96EBC">
        <w:t>.</w:t>
      </w:r>
    </w:p>
    <w:p w14:paraId="4A248C14" w14:textId="77777777" w:rsidR="00DA7654" w:rsidRPr="00A94CFA" w:rsidRDefault="00DA7654" w:rsidP="006E5226">
      <w:pPr>
        <w:spacing w:line="360" w:lineRule="auto"/>
        <w:ind w:firstLine="851"/>
        <w:jc w:val="both"/>
      </w:pPr>
      <w:r>
        <w:t>Taigi, nors f</w:t>
      </w:r>
      <w:r w:rsidRPr="00A94CFA">
        <w:t>ormaliai šioje srityje nustatyti rizikos veiksniai lemia jos atitiktį kriterijams, sudarantiems pagrindą kon</w:t>
      </w:r>
      <w:r w:rsidR="00C7497D">
        <w:t xml:space="preserve">statuoti, kad egzistuoja </w:t>
      </w:r>
      <w:r w:rsidRPr="00A94CFA">
        <w:t>kor</w:t>
      </w:r>
      <w:r>
        <w:t>upcijos pasireiškimo tikimybė, t</w:t>
      </w:r>
      <w:r w:rsidRPr="00A94CFA">
        <w:t xml:space="preserve">ačiau, kad būtų pašalintos visos priežastys, dėl kurių </w:t>
      </w:r>
      <w:r>
        <w:t>gali atsirasti</w:t>
      </w:r>
      <w:r w:rsidRPr="00A94CFA">
        <w:t xml:space="preserve"> nustatyti korupcijos rizikos veiksniai, būtina šalinti vidaus teisės aktų spragas ir atsižvelgti į pateiktas rekomendacijas.</w:t>
      </w:r>
    </w:p>
    <w:p w14:paraId="771EAF8F" w14:textId="77777777" w:rsidR="00C7497D" w:rsidRPr="00C7497D" w:rsidRDefault="00DA7654" w:rsidP="006E5226">
      <w:pPr>
        <w:spacing w:line="360" w:lineRule="auto"/>
        <w:ind w:firstLine="851"/>
        <w:jc w:val="both"/>
        <w:rPr>
          <w:b/>
        </w:rPr>
      </w:pPr>
      <w:r w:rsidRPr="00C7497D">
        <w:rPr>
          <w:b/>
        </w:rPr>
        <w:t xml:space="preserve">Išvados. </w:t>
      </w:r>
    </w:p>
    <w:p w14:paraId="6F41E80C" w14:textId="77777777" w:rsidR="00DA7654" w:rsidRPr="003E4978" w:rsidRDefault="00DA7654" w:rsidP="006E5226">
      <w:pPr>
        <w:spacing w:line="360" w:lineRule="auto"/>
        <w:ind w:firstLine="851"/>
        <w:jc w:val="both"/>
        <w:rPr>
          <w:sz w:val="24"/>
          <w:szCs w:val="24"/>
        </w:rPr>
      </w:pPr>
      <w:r w:rsidRPr="003E4978">
        <w:rPr>
          <w:sz w:val="24"/>
          <w:szCs w:val="24"/>
        </w:rPr>
        <w:t>Atlikus analizę, darytina tokios išvados ir siūloma, kad turėtų būti imamasi šių priemonių:</w:t>
      </w:r>
    </w:p>
    <w:p w14:paraId="4E70122A" w14:textId="77777777" w:rsidR="00DA7654" w:rsidRPr="007F4FDD" w:rsidRDefault="00A96EBC" w:rsidP="006E5226">
      <w:pPr>
        <w:pStyle w:val="ListParagraph"/>
        <w:widowControl/>
        <w:numPr>
          <w:ilvl w:val="0"/>
          <w:numId w:val="4"/>
        </w:numPr>
        <w:autoSpaceDE/>
        <w:autoSpaceDN/>
        <w:spacing w:after="160" w:line="360" w:lineRule="auto"/>
        <w:ind w:left="0" w:firstLine="851"/>
        <w:contextualSpacing/>
        <w:rPr>
          <w:sz w:val="24"/>
          <w:szCs w:val="24"/>
        </w:rPr>
      </w:pPr>
      <w:r>
        <w:rPr>
          <w:sz w:val="24"/>
          <w:szCs w:val="24"/>
        </w:rPr>
        <w:t>UAB ,,Genetiniai ištekliai‘‘</w:t>
      </w:r>
      <w:r w:rsidR="00DA7654" w:rsidRPr="007F4FDD">
        <w:rPr>
          <w:sz w:val="24"/>
          <w:szCs w:val="24"/>
        </w:rPr>
        <w:t xml:space="preserve"> darbuotojų, dirbančių pagal darbo sutartis, darbo teisinių santykių sritis formaliai atitinka šiuos Korupcijos prevencijos įstatymo 6 straipsnio 3 dalyje nurodytus korupcijos riziką šalinančius kriterijus: atskirų valstybės tarnautojų funkcijos, uždaviniai, darbo ir sprendimų priėmimo tvarka bei atsakomybė nėra išsamiai reglamentuoti; daugiausia priima sprendimus, kuriems nereikia kitos valstybės ar savivaldybės įstaigos patvirtinimo. Vertinant pagal kitus Korupcijos prevencijos įstatyme nustatytus korupcijos pasireiškimo tikimybės kriterijus, atitikties nenustatyta.</w:t>
      </w:r>
    </w:p>
    <w:p w14:paraId="3C75AE33" w14:textId="77777777" w:rsidR="00DA7654" w:rsidRDefault="00A96EBC" w:rsidP="006E5226">
      <w:pPr>
        <w:pStyle w:val="ListParagraph"/>
        <w:widowControl/>
        <w:numPr>
          <w:ilvl w:val="0"/>
          <w:numId w:val="4"/>
        </w:numPr>
        <w:autoSpaceDE/>
        <w:autoSpaceDN/>
        <w:spacing w:line="360" w:lineRule="auto"/>
        <w:ind w:left="0" w:firstLine="851"/>
        <w:contextualSpacing/>
        <w:rPr>
          <w:sz w:val="24"/>
          <w:szCs w:val="24"/>
        </w:rPr>
      </w:pPr>
      <w:r>
        <w:rPr>
          <w:sz w:val="24"/>
          <w:szCs w:val="24"/>
        </w:rPr>
        <w:t>UAB ,,Genetiniai ištekliai‘‘</w:t>
      </w:r>
      <w:r w:rsidR="00DA7654">
        <w:rPr>
          <w:sz w:val="24"/>
          <w:szCs w:val="24"/>
        </w:rPr>
        <w:t xml:space="preserve"> yra priimti visi reikiami vidaus teis</w:t>
      </w:r>
      <w:r w:rsidR="00E840C3">
        <w:rPr>
          <w:sz w:val="24"/>
          <w:szCs w:val="24"/>
        </w:rPr>
        <w:t>ės aktai.</w:t>
      </w:r>
      <w:r w:rsidR="00DA7654">
        <w:rPr>
          <w:sz w:val="24"/>
          <w:szCs w:val="24"/>
        </w:rPr>
        <w:t xml:space="preserve"> Jie yra periodiškai peržiūrimi atsižvelgi</w:t>
      </w:r>
      <w:r w:rsidR="00E840C3">
        <w:rPr>
          <w:sz w:val="24"/>
          <w:szCs w:val="24"/>
        </w:rPr>
        <w:t>ant į teisės aktų pakeitimus</w:t>
      </w:r>
      <w:r w:rsidR="00DA7654">
        <w:rPr>
          <w:sz w:val="24"/>
          <w:szCs w:val="24"/>
        </w:rPr>
        <w:t xml:space="preserve"> bei taikant praktikoje kylančias problemas</w:t>
      </w:r>
      <w:r w:rsidR="00C7497D">
        <w:rPr>
          <w:sz w:val="24"/>
          <w:szCs w:val="24"/>
        </w:rPr>
        <w:t>. Tačiau</w:t>
      </w:r>
      <w:r w:rsidR="00DA7654">
        <w:rPr>
          <w:sz w:val="24"/>
          <w:szCs w:val="24"/>
        </w:rPr>
        <w:t xml:space="preserve"> esant būtinumui, </w:t>
      </w:r>
      <w:r w:rsidR="00C7497D">
        <w:rPr>
          <w:sz w:val="24"/>
          <w:szCs w:val="24"/>
        </w:rPr>
        <w:t xml:space="preserve"> turi būti </w:t>
      </w:r>
      <w:r w:rsidR="00DA7654">
        <w:rPr>
          <w:sz w:val="24"/>
          <w:szCs w:val="24"/>
        </w:rPr>
        <w:t>atitinkamai keičiami.</w:t>
      </w:r>
    </w:p>
    <w:p w14:paraId="09A8A54F" w14:textId="77777777" w:rsidR="00DA7654" w:rsidRPr="003E4978" w:rsidRDefault="00DA7654" w:rsidP="006E5226">
      <w:pPr>
        <w:pStyle w:val="ListParagraph"/>
        <w:widowControl/>
        <w:numPr>
          <w:ilvl w:val="0"/>
          <w:numId w:val="4"/>
        </w:numPr>
        <w:autoSpaceDE/>
        <w:autoSpaceDN/>
        <w:spacing w:line="360" w:lineRule="auto"/>
        <w:ind w:left="0" w:firstLine="851"/>
        <w:contextualSpacing/>
        <w:rPr>
          <w:sz w:val="24"/>
          <w:szCs w:val="24"/>
        </w:rPr>
      </w:pPr>
      <w:r w:rsidRPr="003E4978">
        <w:rPr>
          <w:sz w:val="24"/>
          <w:szCs w:val="24"/>
        </w:rPr>
        <w:t>Siūlome tinkamai ir išsamiai reglamentuoti tas personalo valdymo sritis, kurių išsamiai nereglamentuoja te</w:t>
      </w:r>
      <w:r w:rsidR="009215BB">
        <w:rPr>
          <w:sz w:val="24"/>
          <w:szCs w:val="24"/>
        </w:rPr>
        <w:t>isės aktai</w:t>
      </w:r>
      <w:r w:rsidRPr="003E4978">
        <w:rPr>
          <w:sz w:val="24"/>
          <w:szCs w:val="24"/>
        </w:rPr>
        <w:t>, šiuo atveju – darbuotojų atrankos procesą.</w:t>
      </w:r>
    </w:p>
    <w:p w14:paraId="25DA85D1" w14:textId="77777777" w:rsidR="00DA7654" w:rsidRPr="003E4978" w:rsidRDefault="00DA7654" w:rsidP="006E5226">
      <w:pPr>
        <w:pStyle w:val="ListParagraph"/>
        <w:widowControl/>
        <w:numPr>
          <w:ilvl w:val="0"/>
          <w:numId w:val="4"/>
        </w:numPr>
        <w:autoSpaceDE/>
        <w:autoSpaceDN/>
        <w:spacing w:line="360" w:lineRule="auto"/>
        <w:ind w:left="0" w:firstLine="851"/>
        <w:contextualSpacing/>
        <w:rPr>
          <w:sz w:val="24"/>
          <w:szCs w:val="24"/>
        </w:rPr>
      </w:pPr>
      <w:r w:rsidRPr="003E4978">
        <w:rPr>
          <w:sz w:val="24"/>
          <w:szCs w:val="24"/>
        </w:rPr>
        <w:t>Siekiant efektyviai valdyti korupcijos pasireiškimo riziką atrankos</w:t>
      </w:r>
      <w:r w:rsidR="00A96EBC" w:rsidRPr="003E4978">
        <w:rPr>
          <w:sz w:val="24"/>
          <w:szCs w:val="24"/>
        </w:rPr>
        <w:t xml:space="preserve"> į darbą UAB ,,Genetiniai ištekliai‘‘</w:t>
      </w:r>
      <w:r w:rsidRPr="003E4978">
        <w:rPr>
          <w:sz w:val="24"/>
          <w:szCs w:val="24"/>
        </w:rPr>
        <w:t xml:space="preserve"> procese, tikslinga papildyti galio</w:t>
      </w:r>
      <w:r w:rsidR="00A96EBC" w:rsidRPr="003E4978">
        <w:rPr>
          <w:sz w:val="24"/>
          <w:szCs w:val="24"/>
        </w:rPr>
        <w:t>jančius teisės aktus</w:t>
      </w:r>
      <w:r w:rsidRPr="003E4978">
        <w:rPr>
          <w:sz w:val="24"/>
          <w:szCs w:val="24"/>
        </w:rPr>
        <w:t>, kad, prieš priim</w:t>
      </w:r>
      <w:r w:rsidR="00A96EBC" w:rsidRPr="003E4978">
        <w:rPr>
          <w:sz w:val="24"/>
          <w:szCs w:val="24"/>
        </w:rPr>
        <w:t>ant darbuotojus</w:t>
      </w:r>
      <w:r w:rsidR="003E4978" w:rsidRPr="003E4978">
        <w:rPr>
          <w:sz w:val="24"/>
          <w:szCs w:val="24"/>
        </w:rPr>
        <w:t xml:space="preserve"> (specialistus)</w:t>
      </w:r>
      <w:r w:rsidR="00A96EBC" w:rsidRPr="003E4978">
        <w:rPr>
          <w:sz w:val="24"/>
          <w:szCs w:val="24"/>
        </w:rPr>
        <w:t xml:space="preserve"> į </w:t>
      </w:r>
      <w:r w:rsidRPr="003E4978">
        <w:rPr>
          <w:sz w:val="24"/>
          <w:szCs w:val="24"/>
        </w:rPr>
        <w:t>pareigas ir nustatant kaip bus organizuojama kandidatų a</w:t>
      </w:r>
      <w:r w:rsidR="00A96EBC" w:rsidRPr="003E4978">
        <w:rPr>
          <w:sz w:val="24"/>
          <w:szCs w:val="24"/>
        </w:rPr>
        <w:t>tranka, numatyti kriterijų sąrašą, pagal kuriuos bus  vykdoma atranka</w:t>
      </w:r>
      <w:r w:rsidRPr="003E4978">
        <w:rPr>
          <w:sz w:val="24"/>
          <w:szCs w:val="24"/>
        </w:rPr>
        <w:t>.</w:t>
      </w:r>
    </w:p>
    <w:p w14:paraId="4B4C6CA8" w14:textId="77777777" w:rsidR="00DA7654" w:rsidRPr="003E4978" w:rsidRDefault="00DA7654" w:rsidP="006E5226">
      <w:pPr>
        <w:pStyle w:val="ListParagraph"/>
        <w:widowControl/>
        <w:numPr>
          <w:ilvl w:val="0"/>
          <w:numId w:val="4"/>
        </w:numPr>
        <w:autoSpaceDE/>
        <w:autoSpaceDN/>
        <w:spacing w:after="160" w:line="360" w:lineRule="auto"/>
        <w:ind w:left="0" w:firstLine="851"/>
        <w:contextualSpacing/>
        <w:rPr>
          <w:sz w:val="24"/>
          <w:szCs w:val="24"/>
        </w:rPr>
      </w:pPr>
      <w:r w:rsidRPr="003E4978">
        <w:rPr>
          <w:sz w:val="24"/>
          <w:szCs w:val="24"/>
        </w:rPr>
        <w:t>Siekiant stiprinti atsparumą korupcijai ir tobulinti gebėjimus korupcijos pasireiškimo atpažinimo ir jos gerosios praktikos t</w:t>
      </w:r>
      <w:r w:rsidR="00A96EBC" w:rsidRPr="003E4978">
        <w:rPr>
          <w:sz w:val="24"/>
          <w:szCs w:val="24"/>
        </w:rPr>
        <w:t>aikymo srityse, siūlytume UAB ,,Genetiniai ištekliai‘‘</w:t>
      </w:r>
      <w:r w:rsidRPr="003E4978">
        <w:rPr>
          <w:sz w:val="24"/>
          <w:szCs w:val="24"/>
        </w:rPr>
        <w:t xml:space="preserve"> darbuotojams, esant galimybei, dalyvauti antikorupcinių mokymų programose ir nuolat tobulinti savo žinias antikorupcijos srityje. </w:t>
      </w:r>
    </w:p>
    <w:p w14:paraId="4DF138AE" w14:textId="77777777" w:rsidR="00BA3FD5" w:rsidRDefault="00E840C3" w:rsidP="00E840C3">
      <w:pPr>
        <w:tabs>
          <w:tab w:val="left" w:pos="1276"/>
        </w:tabs>
        <w:spacing w:line="360" w:lineRule="auto"/>
        <w:jc w:val="both"/>
        <w:rPr>
          <w:sz w:val="24"/>
          <w:szCs w:val="24"/>
        </w:rPr>
      </w:pPr>
      <w:r w:rsidRPr="003E4978">
        <w:rPr>
          <w:sz w:val="24"/>
          <w:szCs w:val="24"/>
        </w:rPr>
        <w:t xml:space="preserve">           </w:t>
      </w:r>
      <w:r w:rsidR="00F44C73" w:rsidRPr="003E4978">
        <w:rPr>
          <w:sz w:val="24"/>
          <w:szCs w:val="24"/>
        </w:rPr>
        <w:t xml:space="preserve">Atlikus analizę galima teigti, kad korupcijos pasireiškimo tikimybė yra minimali, nes atitinka korupcijos rizikos analizės atitikimo tvarkoje nurodytus kriterijus. Atskirų darbuotojų funkcijos, uždaviniai, darbo ir sprendimų priėmimo tvarkos bei atsakomybės yra išsamiai reglamentuoti pareigybių aprašymuose, nuostatuose, kituose vidaus dokumentuose. Korupcijos pasireiškimo tikimybę labiausia gali sąlygoti žmogiškasis faktorius (piktnaudžiavimo galimybė) ir vienasmeniškas sprendimų, kuriems nereikia kitos valstybės ar savivaldybės įstaigos patvirtinimo, priėmimas. </w:t>
      </w:r>
    </w:p>
    <w:p w14:paraId="3A184846" w14:textId="77777777" w:rsidR="00BA3FD5" w:rsidRDefault="00BA3FD5" w:rsidP="00E840C3">
      <w:pPr>
        <w:tabs>
          <w:tab w:val="left" w:pos="1276"/>
        </w:tabs>
        <w:spacing w:line="360" w:lineRule="auto"/>
        <w:jc w:val="both"/>
        <w:rPr>
          <w:sz w:val="24"/>
          <w:szCs w:val="24"/>
        </w:rPr>
      </w:pPr>
      <w:r>
        <w:rPr>
          <w:sz w:val="24"/>
          <w:szCs w:val="24"/>
        </w:rPr>
        <w:t>Komisija:                                                                                            Rimantas Kairys</w:t>
      </w:r>
    </w:p>
    <w:p w14:paraId="50996FD5" w14:textId="77777777" w:rsidR="00BA3FD5" w:rsidRDefault="00BA3FD5" w:rsidP="00E840C3">
      <w:pPr>
        <w:tabs>
          <w:tab w:val="left" w:pos="1276"/>
        </w:tabs>
        <w:spacing w:line="360" w:lineRule="auto"/>
        <w:jc w:val="both"/>
        <w:rPr>
          <w:sz w:val="24"/>
          <w:szCs w:val="24"/>
        </w:rPr>
      </w:pPr>
      <w:r>
        <w:rPr>
          <w:sz w:val="24"/>
          <w:szCs w:val="24"/>
        </w:rPr>
        <w:t xml:space="preserve">                                                                                                            Irena Vaičiūnienė</w:t>
      </w:r>
    </w:p>
    <w:p w14:paraId="29642662" w14:textId="77777777" w:rsidR="00BA3FD5" w:rsidRPr="003E4978" w:rsidRDefault="00BA3FD5" w:rsidP="00E840C3">
      <w:pPr>
        <w:tabs>
          <w:tab w:val="left" w:pos="1276"/>
        </w:tabs>
        <w:spacing w:line="360" w:lineRule="auto"/>
        <w:jc w:val="both"/>
        <w:rPr>
          <w:rFonts w:eastAsia="Calibri"/>
          <w:sz w:val="24"/>
          <w:szCs w:val="24"/>
          <w:u w:val="single"/>
        </w:rPr>
        <w:sectPr w:rsidR="00BA3FD5" w:rsidRPr="003E4978">
          <w:type w:val="continuous"/>
          <w:pgSz w:w="11910" w:h="16840"/>
          <w:pgMar w:top="1580" w:right="460" w:bottom="280" w:left="880" w:header="567" w:footer="567" w:gutter="0"/>
          <w:cols w:space="1296"/>
        </w:sectPr>
      </w:pPr>
      <w:r>
        <w:rPr>
          <w:sz w:val="24"/>
          <w:szCs w:val="24"/>
        </w:rPr>
        <w:t xml:space="preserve">                                                                                                            Rolandas Alekna</w:t>
      </w:r>
      <w:r w:rsidR="00625093">
        <w:rPr>
          <w:sz w:val="24"/>
          <w:szCs w:val="24"/>
        </w:rPr>
        <w:t xml:space="preserve">           </w:t>
      </w:r>
    </w:p>
    <w:p w14:paraId="02213594" w14:textId="77777777" w:rsidR="00767589" w:rsidRPr="00625093" w:rsidRDefault="00767589" w:rsidP="00625093">
      <w:pPr>
        <w:tabs>
          <w:tab w:val="left" w:pos="1185"/>
        </w:tabs>
        <w:spacing w:line="276" w:lineRule="auto"/>
        <w:ind w:right="104"/>
        <w:rPr>
          <w:sz w:val="24"/>
          <w:highlight w:val="yellow"/>
        </w:rPr>
        <w:sectPr w:rsidR="00767589" w:rsidRPr="00625093">
          <w:pgSz w:w="11910" w:h="16840"/>
          <w:pgMar w:top="1580" w:right="460" w:bottom="280" w:left="880" w:header="567" w:footer="567" w:gutter="0"/>
          <w:cols w:space="1296"/>
        </w:sectPr>
      </w:pPr>
    </w:p>
    <w:p w14:paraId="4F11162D" w14:textId="77777777" w:rsidR="00767589" w:rsidRDefault="00767589">
      <w:pPr>
        <w:pStyle w:val="BodyText"/>
        <w:ind w:left="0" w:firstLine="0"/>
        <w:rPr>
          <w:sz w:val="20"/>
        </w:rPr>
      </w:pPr>
    </w:p>
    <w:sectPr w:rsidR="00767589">
      <w:pgSz w:w="12000" w:h="8000" w:orient="landscape"/>
      <w:pgMar w:top="720" w:right="380" w:bottom="280" w:left="3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098A"/>
    <w:multiLevelType w:val="hybridMultilevel"/>
    <w:tmpl w:val="5948769C"/>
    <w:lvl w:ilvl="0" w:tplc="871E14C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F273E00"/>
    <w:multiLevelType w:val="hybridMultilevel"/>
    <w:tmpl w:val="6C16E8F6"/>
    <w:lvl w:ilvl="0" w:tplc="D06E8A96">
      <w:start w:val="1"/>
      <w:numFmt w:val="decimal"/>
      <w:lvlText w:val="%1."/>
      <w:lvlJc w:val="left"/>
      <w:pPr>
        <w:ind w:left="757" w:hanging="360"/>
      </w:pPr>
      <w:rPr>
        <w:rFonts w:ascii="Times New Roman" w:eastAsia="Times New Roman" w:hAnsi="Times New Roman" w:cs="Times New Roman" w:hint="default"/>
        <w:spacing w:val="-8"/>
        <w:w w:val="99"/>
        <w:sz w:val="24"/>
        <w:szCs w:val="24"/>
        <w:lang w:val="lt-LT" w:eastAsia="lt-LT" w:bidi="lt-LT"/>
      </w:rPr>
    </w:lvl>
    <w:lvl w:ilvl="1" w:tplc="31088864">
      <w:start w:val="1"/>
      <w:numFmt w:val="decimal"/>
      <w:lvlText w:val="%2."/>
      <w:lvlJc w:val="left"/>
      <w:pPr>
        <w:ind w:left="1184" w:hanging="360"/>
      </w:pPr>
      <w:rPr>
        <w:rFonts w:ascii="Times New Roman" w:eastAsia="Times New Roman" w:hAnsi="Times New Roman" w:cs="Times New Roman" w:hint="default"/>
        <w:spacing w:val="-23"/>
        <w:w w:val="100"/>
        <w:sz w:val="24"/>
        <w:szCs w:val="24"/>
        <w:lang w:val="lt-LT" w:eastAsia="lt-LT" w:bidi="lt-LT"/>
      </w:rPr>
    </w:lvl>
    <w:lvl w:ilvl="2" w:tplc="C4DEEB2A">
      <w:numFmt w:val="bullet"/>
      <w:lvlText w:val="•"/>
      <w:lvlJc w:val="left"/>
      <w:pPr>
        <w:ind w:left="2222" w:hanging="360"/>
      </w:pPr>
      <w:rPr>
        <w:rFonts w:hint="default"/>
        <w:lang w:val="lt-LT" w:eastAsia="lt-LT" w:bidi="lt-LT"/>
      </w:rPr>
    </w:lvl>
    <w:lvl w:ilvl="3" w:tplc="2EC8F628">
      <w:numFmt w:val="bullet"/>
      <w:lvlText w:val="•"/>
      <w:lvlJc w:val="left"/>
      <w:pPr>
        <w:ind w:left="3265" w:hanging="360"/>
      </w:pPr>
      <w:rPr>
        <w:rFonts w:hint="default"/>
        <w:lang w:val="lt-LT" w:eastAsia="lt-LT" w:bidi="lt-LT"/>
      </w:rPr>
    </w:lvl>
    <w:lvl w:ilvl="4" w:tplc="1D2ED9DC">
      <w:numFmt w:val="bullet"/>
      <w:lvlText w:val="•"/>
      <w:lvlJc w:val="left"/>
      <w:pPr>
        <w:ind w:left="4308" w:hanging="360"/>
      </w:pPr>
      <w:rPr>
        <w:rFonts w:hint="default"/>
        <w:lang w:val="lt-LT" w:eastAsia="lt-LT" w:bidi="lt-LT"/>
      </w:rPr>
    </w:lvl>
    <w:lvl w:ilvl="5" w:tplc="60BEBAC4">
      <w:numFmt w:val="bullet"/>
      <w:lvlText w:val="•"/>
      <w:lvlJc w:val="left"/>
      <w:pPr>
        <w:ind w:left="5351" w:hanging="360"/>
      </w:pPr>
      <w:rPr>
        <w:rFonts w:hint="default"/>
        <w:lang w:val="lt-LT" w:eastAsia="lt-LT" w:bidi="lt-LT"/>
      </w:rPr>
    </w:lvl>
    <w:lvl w:ilvl="6" w:tplc="AB0200FA">
      <w:numFmt w:val="bullet"/>
      <w:lvlText w:val="•"/>
      <w:lvlJc w:val="left"/>
      <w:pPr>
        <w:ind w:left="6394" w:hanging="360"/>
      </w:pPr>
      <w:rPr>
        <w:rFonts w:hint="default"/>
        <w:lang w:val="lt-LT" w:eastAsia="lt-LT" w:bidi="lt-LT"/>
      </w:rPr>
    </w:lvl>
    <w:lvl w:ilvl="7" w:tplc="C1821B42">
      <w:numFmt w:val="bullet"/>
      <w:lvlText w:val="•"/>
      <w:lvlJc w:val="left"/>
      <w:pPr>
        <w:ind w:left="7437" w:hanging="360"/>
      </w:pPr>
      <w:rPr>
        <w:rFonts w:hint="default"/>
        <w:lang w:val="lt-LT" w:eastAsia="lt-LT" w:bidi="lt-LT"/>
      </w:rPr>
    </w:lvl>
    <w:lvl w:ilvl="8" w:tplc="FCFC1256">
      <w:numFmt w:val="bullet"/>
      <w:lvlText w:val="•"/>
      <w:lvlJc w:val="left"/>
      <w:pPr>
        <w:ind w:left="8480" w:hanging="360"/>
      </w:pPr>
      <w:rPr>
        <w:rFonts w:hint="default"/>
        <w:lang w:val="lt-LT" w:eastAsia="lt-LT" w:bidi="lt-LT"/>
      </w:rPr>
    </w:lvl>
  </w:abstractNum>
  <w:abstractNum w:abstractNumId="2" w15:restartNumberingAfterBreak="0">
    <w:nsid w:val="65083E1F"/>
    <w:multiLevelType w:val="hybridMultilevel"/>
    <w:tmpl w:val="9642F2F4"/>
    <w:lvl w:ilvl="0" w:tplc="1BB66C2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45D16"/>
    <w:multiLevelType w:val="hybridMultilevel"/>
    <w:tmpl w:val="9EA25206"/>
    <w:lvl w:ilvl="0" w:tplc="36805F42">
      <w:start w:val="1"/>
      <w:numFmt w:val="decimal"/>
      <w:lvlText w:val="%1."/>
      <w:lvlJc w:val="left"/>
      <w:pPr>
        <w:ind w:left="834" w:hanging="360"/>
      </w:pPr>
      <w:rPr>
        <w:rFonts w:ascii="Times New Roman" w:eastAsia="Times New Roman" w:hAnsi="Times New Roman" w:cs="Times New Roman" w:hint="default"/>
        <w:spacing w:val="-30"/>
        <w:w w:val="99"/>
        <w:sz w:val="24"/>
        <w:szCs w:val="24"/>
        <w:lang w:val="lt-LT" w:eastAsia="lt-LT" w:bidi="lt-LT"/>
      </w:rPr>
    </w:lvl>
    <w:lvl w:ilvl="1" w:tplc="EA72A908">
      <w:numFmt w:val="bullet"/>
      <w:lvlText w:val="•"/>
      <w:lvlJc w:val="left"/>
      <w:pPr>
        <w:ind w:left="1812" w:hanging="360"/>
      </w:pPr>
      <w:rPr>
        <w:rFonts w:hint="default"/>
        <w:lang w:val="lt-LT" w:eastAsia="lt-LT" w:bidi="lt-LT"/>
      </w:rPr>
    </w:lvl>
    <w:lvl w:ilvl="2" w:tplc="0946130A">
      <w:numFmt w:val="bullet"/>
      <w:lvlText w:val="•"/>
      <w:lvlJc w:val="left"/>
      <w:pPr>
        <w:ind w:left="2785" w:hanging="360"/>
      </w:pPr>
      <w:rPr>
        <w:rFonts w:hint="default"/>
        <w:lang w:val="lt-LT" w:eastAsia="lt-LT" w:bidi="lt-LT"/>
      </w:rPr>
    </w:lvl>
    <w:lvl w:ilvl="3" w:tplc="A5A2CCBC">
      <w:numFmt w:val="bullet"/>
      <w:lvlText w:val="•"/>
      <w:lvlJc w:val="left"/>
      <w:pPr>
        <w:ind w:left="3757" w:hanging="360"/>
      </w:pPr>
      <w:rPr>
        <w:rFonts w:hint="default"/>
        <w:lang w:val="lt-LT" w:eastAsia="lt-LT" w:bidi="lt-LT"/>
      </w:rPr>
    </w:lvl>
    <w:lvl w:ilvl="4" w:tplc="BD74A486">
      <w:numFmt w:val="bullet"/>
      <w:lvlText w:val="•"/>
      <w:lvlJc w:val="left"/>
      <w:pPr>
        <w:ind w:left="4730" w:hanging="360"/>
      </w:pPr>
      <w:rPr>
        <w:rFonts w:hint="default"/>
        <w:lang w:val="lt-LT" w:eastAsia="lt-LT" w:bidi="lt-LT"/>
      </w:rPr>
    </w:lvl>
    <w:lvl w:ilvl="5" w:tplc="219E1CCA">
      <w:numFmt w:val="bullet"/>
      <w:lvlText w:val="•"/>
      <w:lvlJc w:val="left"/>
      <w:pPr>
        <w:ind w:left="5703" w:hanging="360"/>
      </w:pPr>
      <w:rPr>
        <w:rFonts w:hint="default"/>
        <w:lang w:val="lt-LT" w:eastAsia="lt-LT" w:bidi="lt-LT"/>
      </w:rPr>
    </w:lvl>
    <w:lvl w:ilvl="6" w:tplc="B06E0450">
      <w:numFmt w:val="bullet"/>
      <w:lvlText w:val="•"/>
      <w:lvlJc w:val="left"/>
      <w:pPr>
        <w:ind w:left="6675" w:hanging="360"/>
      </w:pPr>
      <w:rPr>
        <w:rFonts w:hint="default"/>
        <w:lang w:val="lt-LT" w:eastAsia="lt-LT" w:bidi="lt-LT"/>
      </w:rPr>
    </w:lvl>
    <w:lvl w:ilvl="7" w:tplc="D81A0824">
      <w:numFmt w:val="bullet"/>
      <w:lvlText w:val="•"/>
      <w:lvlJc w:val="left"/>
      <w:pPr>
        <w:ind w:left="7648" w:hanging="360"/>
      </w:pPr>
      <w:rPr>
        <w:rFonts w:hint="default"/>
        <w:lang w:val="lt-LT" w:eastAsia="lt-LT" w:bidi="lt-LT"/>
      </w:rPr>
    </w:lvl>
    <w:lvl w:ilvl="8" w:tplc="B19E6C48">
      <w:numFmt w:val="bullet"/>
      <w:lvlText w:val="•"/>
      <w:lvlJc w:val="left"/>
      <w:pPr>
        <w:ind w:left="8621" w:hanging="360"/>
      </w:pPr>
      <w:rPr>
        <w:rFonts w:hint="default"/>
        <w:lang w:val="lt-LT" w:eastAsia="lt-LT" w:bidi="lt-LT"/>
      </w:rPr>
    </w:lvl>
  </w:abstractNum>
  <w:num w:numId="1" w16cid:durableId="608852111">
    <w:abstractNumId w:val="1"/>
  </w:num>
  <w:num w:numId="2" w16cid:durableId="1918050763">
    <w:abstractNumId w:val="3"/>
  </w:num>
  <w:num w:numId="3" w16cid:durableId="1519124725">
    <w:abstractNumId w:val="0"/>
  </w:num>
  <w:num w:numId="4" w16cid:durableId="99387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89"/>
    <w:rsid w:val="000E4C16"/>
    <w:rsid w:val="001267E3"/>
    <w:rsid w:val="003E4978"/>
    <w:rsid w:val="005135C6"/>
    <w:rsid w:val="005758E7"/>
    <w:rsid w:val="00612BC9"/>
    <w:rsid w:val="00625093"/>
    <w:rsid w:val="006E5226"/>
    <w:rsid w:val="00766B12"/>
    <w:rsid w:val="00767589"/>
    <w:rsid w:val="00887A62"/>
    <w:rsid w:val="009215BB"/>
    <w:rsid w:val="00924B6D"/>
    <w:rsid w:val="0094790F"/>
    <w:rsid w:val="00960BEF"/>
    <w:rsid w:val="00A2093F"/>
    <w:rsid w:val="00A84D4D"/>
    <w:rsid w:val="00A9026E"/>
    <w:rsid w:val="00A96EBC"/>
    <w:rsid w:val="00AA133D"/>
    <w:rsid w:val="00AE09D7"/>
    <w:rsid w:val="00AE3311"/>
    <w:rsid w:val="00B22DE7"/>
    <w:rsid w:val="00BA3FD5"/>
    <w:rsid w:val="00C0309F"/>
    <w:rsid w:val="00C7497D"/>
    <w:rsid w:val="00D25D0F"/>
    <w:rsid w:val="00D407BE"/>
    <w:rsid w:val="00DA1830"/>
    <w:rsid w:val="00DA7654"/>
    <w:rsid w:val="00E15A81"/>
    <w:rsid w:val="00E44E45"/>
    <w:rsid w:val="00E840C3"/>
    <w:rsid w:val="00F2675E"/>
    <w:rsid w:val="00F34E74"/>
    <w:rsid w:val="00F44C73"/>
    <w:rsid w:val="00F76983"/>
    <w:rsid w:val="00F96A0F"/>
    <w:rsid w:val="00FA2908"/>
    <w:rsid w:val="00FF1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BF7D"/>
  <w15:docId w15:val="{A2113993-0694-4A70-811C-615DC02F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eastAsia="lt-LT" w:bidi="lt-LT"/>
    </w:rPr>
  </w:style>
  <w:style w:type="paragraph" w:styleId="Heading1">
    <w:name w:val="heading 1"/>
    <w:basedOn w:val="Normal"/>
    <w:uiPriority w:val="1"/>
    <w:qFormat/>
    <w:pPr>
      <w:spacing w:before="45"/>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4" w:hanging="360"/>
    </w:pPr>
    <w:rPr>
      <w:sz w:val="24"/>
      <w:szCs w:val="24"/>
    </w:rPr>
  </w:style>
  <w:style w:type="paragraph" w:styleId="ListParagraph">
    <w:name w:val="List Paragraph"/>
    <w:basedOn w:val="Normal"/>
    <w:uiPriority w:val="34"/>
    <w:qFormat/>
    <w:pPr>
      <w:ind w:left="118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0007-13D2-410B-B442-91E5740A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8329</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Vakarė</dc:creator>
  <cp:lastModifiedBy>Modestas Staskus</cp:lastModifiedBy>
  <cp:revision>2</cp:revision>
  <dcterms:created xsi:type="dcterms:W3CDTF">2026-04-22T07:59:00Z</dcterms:created>
  <dcterms:modified xsi:type="dcterms:W3CDTF">2026-04-22T07:59:00Z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Office Word 2007</vt:lpwstr>
  </property>
  <property fmtid="{D5CDD505-2E9C-101B-9397-08002B2CF9AE}" pid="4" name="LastSaved">
    <vt:filetime>2021-09-24T00:00:00Z</vt:filetime>
  </property>
</Properties>
</file>